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rPr>
          <w:rStyle w:val="6"/>
          <w:rFonts w:hint="eastAsia" w:ascii="仿宋" w:hAnsi="仿宋" w:eastAsia="仿宋" w:cs="Arial"/>
          <w:color w:val="333333"/>
          <w:sz w:val="30"/>
          <w:szCs w:val="30"/>
          <w:lang w:eastAsia="zh-CN"/>
        </w:rPr>
      </w:pPr>
      <w:r>
        <w:rPr>
          <w:rStyle w:val="6"/>
          <w:rFonts w:hint="eastAsia" w:ascii="仿宋" w:hAnsi="仿宋" w:eastAsia="仿宋" w:cs="Arial"/>
          <w:color w:val="333333"/>
          <w:sz w:val="30"/>
          <w:szCs w:val="30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  <w:t>2021年度湖北省实验动物行政许可单位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  <w:t>“双随机一公开”检查结果汇总表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52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方正书宋_GBK" w:hAnsi="方正书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书宋_GBK" w:hAnsi="方正书宋_GBK" w:eastAsia="方正书宋_GBK" w:cs="方正书宋_GBK"/>
                <w:sz w:val="28"/>
                <w:szCs w:val="28"/>
              </w:rPr>
              <w:t>序号</w:t>
            </w:r>
          </w:p>
        </w:tc>
        <w:tc>
          <w:tcPr>
            <w:tcW w:w="5528" w:type="dxa"/>
          </w:tcPr>
          <w:p>
            <w:pPr>
              <w:spacing w:line="520" w:lineRule="exact"/>
              <w:jc w:val="center"/>
              <w:rPr>
                <w:rFonts w:hint="eastAsia" w:ascii="方正书宋_GBK" w:hAnsi="方正书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书宋_GBK" w:hAnsi="方正书宋_GBK" w:eastAsia="方正书宋_GBK" w:cs="方正书宋_GBK"/>
                <w:sz w:val="28"/>
                <w:szCs w:val="28"/>
              </w:rPr>
              <w:t>单位名称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方正书宋_GBK" w:hAnsi="方正书宋_GBK" w:eastAsia="方正书宋_GBK" w:cs="方正书宋_GBK"/>
                <w:sz w:val="28"/>
                <w:szCs w:val="28"/>
              </w:rPr>
            </w:pPr>
            <w:r>
              <w:rPr>
                <w:rFonts w:hint="eastAsia" w:ascii="方正书宋_GBK" w:hAnsi="方正书宋_GBK" w:eastAsia="方正书宋_GBK" w:cs="方正书宋_GBK"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华中农业大学国家兽药残留基准实验室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武汉大学动物实验中心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武汉中原瑞德生物制品有限责任公司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武汉科技大学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武汉大学口腔医院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湖北奥菲生物科技有限公司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宜昌人福药业有限责任公司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华中科技大学（生科院）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湖北省药品监督检验研究院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十堰市人民医院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湖北医药学院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湖北中医药高等专科学校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国药集团动物保健股份有限公司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武汉市药品医疗器械检验所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武汉市万千佳兴生物科技有限公司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武汉华龙生物制药有限公司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湖北省医药工业研究院有限公司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湖北省医疗器械质量监督检验研究院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湖北天勤生物科技有限公司武汉分公司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武汉博思福生物科技有限公司</w:t>
            </w:r>
          </w:p>
        </w:tc>
        <w:tc>
          <w:tcPr>
            <w:tcW w:w="178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设施停用</w:t>
            </w:r>
          </w:p>
        </w:tc>
      </w:tr>
    </w:tbl>
    <w:p>
      <w:pPr>
        <w:spacing w:line="440" w:lineRule="exac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7E3A"/>
    <w:rsid w:val="4E8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2021-09-08T03:38:00Z</dcterms:created>
  <dc:creator>橘子汽水1410230322</dc:creator>
  <cp:lastModifiedBy>橘子汽水1410230322</cp:lastModifiedBy>
  <dcterms:modified xsi:type="dcterms:W3CDTF">2021-09-08T03:38:59Z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5C5B67E89B99423A8FE75FE8442932D7</vt:lpwstr>
  </property>
</Properties>
</file>